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85C4C" w14:textId="77777777" w:rsidR="006F34B6" w:rsidRPr="00DB100B" w:rsidRDefault="006F34B6" w:rsidP="006F34B6">
      <w:pPr>
        <w:jc w:val="center"/>
        <w:rPr>
          <w:b/>
          <w:sz w:val="28"/>
          <w:szCs w:val="28"/>
          <w:lang w:val="uk-UA"/>
        </w:rPr>
      </w:pPr>
      <w:r w:rsidRPr="00DB100B">
        <w:rPr>
          <w:b/>
          <w:sz w:val="28"/>
          <w:szCs w:val="28"/>
          <w:lang w:val="uk-UA"/>
        </w:rPr>
        <w:t xml:space="preserve">Заява </w:t>
      </w:r>
    </w:p>
    <w:p w14:paraId="7139A300" w14:textId="77777777" w:rsidR="006F34B6" w:rsidRPr="00DB100B" w:rsidRDefault="006F34B6" w:rsidP="00121B7D">
      <w:pPr>
        <w:jc w:val="center"/>
        <w:rPr>
          <w:sz w:val="28"/>
          <w:szCs w:val="28"/>
          <w:lang w:val="uk-UA"/>
        </w:rPr>
      </w:pPr>
      <w:r w:rsidRPr="00DB100B">
        <w:rPr>
          <w:sz w:val="28"/>
          <w:szCs w:val="28"/>
          <w:lang w:val="uk-UA"/>
        </w:rPr>
        <w:t>про визначення обсягу стратегічної екологічної оцінки</w:t>
      </w:r>
    </w:p>
    <w:p w14:paraId="4B2F3D92" w14:textId="4196969C" w:rsidR="006F34B6" w:rsidRPr="003A2AD4" w:rsidRDefault="006F34B6" w:rsidP="00121B7D">
      <w:pPr>
        <w:jc w:val="center"/>
        <w:rPr>
          <w:sz w:val="26"/>
          <w:szCs w:val="26"/>
          <w:lang w:val="uk-UA"/>
        </w:rPr>
      </w:pPr>
      <w:r w:rsidRPr="003A2AD4">
        <w:rPr>
          <w:sz w:val="26"/>
          <w:szCs w:val="26"/>
          <w:lang w:val="uk-UA"/>
        </w:rPr>
        <w:t xml:space="preserve">проекту </w:t>
      </w:r>
      <w:r w:rsidR="00EA07C9" w:rsidRPr="003A2AD4">
        <w:rPr>
          <w:sz w:val="26"/>
          <w:szCs w:val="26"/>
          <w:lang w:val="uk-UA"/>
        </w:rPr>
        <w:t>«Д</w:t>
      </w:r>
      <w:r w:rsidR="001C7612" w:rsidRPr="003A2AD4">
        <w:rPr>
          <w:sz w:val="26"/>
          <w:szCs w:val="26"/>
          <w:lang w:val="uk-UA"/>
        </w:rPr>
        <w:t>етальн</w:t>
      </w:r>
      <w:r w:rsidR="00EA07C9" w:rsidRPr="003A2AD4">
        <w:rPr>
          <w:sz w:val="26"/>
          <w:szCs w:val="26"/>
          <w:lang w:val="uk-UA"/>
        </w:rPr>
        <w:t xml:space="preserve">ий </w:t>
      </w:r>
      <w:r w:rsidR="001C7612" w:rsidRPr="003A2AD4">
        <w:rPr>
          <w:sz w:val="26"/>
          <w:szCs w:val="26"/>
          <w:lang w:val="uk-UA"/>
        </w:rPr>
        <w:t>план</w:t>
      </w:r>
      <w:r w:rsidR="00765667" w:rsidRPr="003A2AD4">
        <w:rPr>
          <w:sz w:val="26"/>
          <w:szCs w:val="26"/>
          <w:lang w:val="uk-UA"/>
        </w:rPr>
        <w:t xml:space="preserve"> території</w:t>
      </w:r>
      <w:r w:rsidR="001C7612" w:rsidRPr="003A2AD4">
        <w:rPr>
          <w:sz w:val="26"/>
          <w:szCs w:val="26"/>
          <w:lang w:val="uk-UA"/>
        </w:rPr>
        <w:t xml:space="preserve"> </w:t>
      </w:r>
      <w:r w:rsidR="00DB100B" w:rsidRPr="003A2AD4">
        <w:rPr>
          <w:sz w:val="26"/>
          <w:szCs w:val="26"/>
          <w:lang w:val="uk-UA"/>
        </w:rPr>
        <w:t>за адресою</w:t>
      </w:r>
      <w:r w:rsidR="00EA07C9" w:rsidRPr="003A2AD4">
        <w:rPr>
          <w:sz w:val="26"/>
          <w:szCs w:val="26"/>
          <w:lang w:val="uk-UA"/>
        </w:rPr>
        <w:t xml:space="preserve"> </w:t>
      </w:r>
      <w:r w:rsidR="00DB100B" w:rsidRPr="003A2AD4">
        <w:rPr>
          <w:sz w:val="26"/>
          <w:szCs w:val="26"/>
          <w:lang w:val="uk-UA"/>
        </w:rPr>
        <w:t xml:space="preserve">с. Баранинці, </w:t>
      </w:r>
      <w:r w:rsidR="00EA07C9" w:rsidRPr="003A2AD4">
        <w:rPr>
          <w:sz w:val="26"/>
          <w:szCs w:val="26"/>
          <w:lang w:val="uk-UA"/>
        </w:rPr>
        <w:t>вул. Об’їзна»</w:t>
      </w:r>
    </w:p>
    <w:p w14:paraId="5358E804" w14:textId="758F6F87" w:rsidR="003A2AD4" w:rsidRDefault="003A2AD4" w:rsidP="003A2AD4">
      <w:pPr>
        <w:ind w:left="-567" w:right="-284"/>
        <w:jc w:val="center"/>
        <w:rPr>
          <w:sz w:val="26"/>
          <w:szCs w:val="26"/>
          <w:lang w:val="uk-UA"/>
        </w:rPr>
      </w:pPr>
      <w:r w:rsidRPr="003A2AD4">
        <w:rPr>
          <w:sz w:val="26"/>
          <w:szCs w:val="26"/>
          <w:lang w:val="uk-UA"/>
        </w:rPr>
        <w:t>(будівництво та обслуговування будівель багатофункціонального громадського комплексу)</w:t>
      </w:r>
    </w:p>
    <w:p w14:paraId="1AB6827C" w14:textId="77777777" w:rsidR="003A2AD4" w:rsidRPr="003A2AD4" w:rsidRDefault="003A2AD4" w:rsidP="003A2AD4">
      <w:pPr>
        <w:ind w:left="-567" w:right="-284"/>
        <w:jc w:val="center"/>
        <w:rPr>
          <w:sz w:val="26"/>
          <w:szCs w:val="26"/>
          <w:lang w:val="uk-UA"/>
        </w:rPr>
      </w:pPr>
    </w:p>
    <w:tbl>
      <w:tblPr>
        <w:tblStyle w:val="a3"/>
        <w:tblW w:w="0" w:type="auto"/>
        <w:tblLayout w:type="fixed"/>
        <w:tblLook w:val="01E0" w:firstRow="1" w:lastRow="1" w:firstColumn="1" w:lastColumn="1" w:noHBand="0" w:noVBand="0"/>
      </w:tblPr>
      <w:tblGrid>
        <w:gridCol w:w="421"/>
        <w:gridCol w:w="3402"/>
        <w:gridCol w:w="5522"/>
      </w:tblGrid>
      <w:tr w:rsidR="00DB100B" w:rsidRPr="00DB100B" w14:paraId="32092EC2" w14:textId="77777777" w:rsidTr="0047269E">
        <w:tc>
          <w:tcPr>
            <w:tcW w:w="421" w:type="dxa"/>
          </w:tcPr>
          <w:p w14:paraId="396C9100" w14:textId="77777777" w:rsidR="006F34B6" w:rsidRPr="00DB100B" w:rsidRDefault="006F34B6" w:rsidP="00870A39">
            <w:pPr>
              <w:numPr>
                <w:ilvl w:val="0"/>
                <w:numId w:val="1"/>
              </w:numPr>
              <w:jc w:val="center"/>
              <w:rPr>
                <w:sz w:val="28"/>
                <w:szCs w:val="28"/>
                <w:lang w:val="uk-UA"/>
              </w:rPr>
            </w:pPr>
          </w:p>
        </w:tc>
        <w:tc>
          <w:tcPr>
            <w:tcW w:w="3402" w:type="dxa"/>
          </w:tcPr>
          <w:p w14:paraId="15038E43" w14:textId="77777777" w:rsidR="006F34B6" w:rsidRPr="00DB100B" w:rsidRDefault="006F34B6" w:rsidP="00870A39">
            <w:pPr>
              <w:rPr>
                <w:sz w:val="28"/>
                <w:szCs w:val="28"/>
                <w:lang w:val="uk-UA"/>
              </w:rPr>
            </w:pPr>
            <w:r w:rsidRPr="00DB100B">
              <w:rPr>
                <w:sz w:val="28"/>
                <w:szCs w:val="28"/>
                <w:lang w:val="uk-UA"/>
              </w:rPr>
              <w:t>Замовник</w:t>
            </w:r>
          </w:p>
        </w:tc>
        <w:tc>
          <w:tcPr>
            <w:tcW w:w="5522" w:type="dxa"/>
          </w:tcPr>
          <w:p w14:paraId="3ABBF7C8" w14:textId="2BFFA8CD" w:rsidR="00AA45BB" w:rsidRPr="00DB100B" w:rsidRDefault="00DB100B" w:rsidP="00AA45BB">
            <w:pPr>
              <w:ind w:right="-816"/>
              <w:rPr>
                <w:bCs/>
                <w:sz w:val="28"/>
                <w:szCs w:val="28"/>
                <w:lang w:val="uk-UA"/>
              </w:rPr>
            </w:pPr>
            <w:proofErr w:type="spellStart"/>
            <w:r w:rsidRPr="00DB100B">
              <w:rPr>
                <w:bCs/>
                <w:sz w:val="28"/>
                <w:szCs w:val="28"/>
                <w:lang w:val="uk-UA"/>
              </w:rPr>
              <w:t>Баранинська</w:t>
            </w:r>
            <w:proofErr w:type="spellEnd"/>
            <w:r w:rsidRPr="00DB100B">
              <w:rPr>
                <w:bCs/>
                <w:sz w:val="28"/>
                <w:szCs w:val="28"/>
                <w:lang w:val="uk-UA"/>
              </w:rPr>
              <w:t xml:space="preserve"> </w:t>
            </w:r>
            <w:r w:rsidR="00AA45BB" w:rsidRPr="00DB100B">
              <w:rPr>
                <w:bCs/>
                <w:sz w:val="28"/>
                <w:szCs w:val="28"/>
                <w:lang w:val="uk-UA"/>
              </w:rPr>
              <w:t xml:space="preserve"> сільська рада</w:t>
            </w:r>
          </w:p>
          <w:p w14:paraId="581D7524" w14:textId="185B0C01" w:rsidR="00AA45BB" w:rsidRPr="00DB100B" w:rsidRDefault="00DB100B" w:rsidP="00AA45BB">
            <w:pPr>
              <w:ind w:right="-816"/>
              <w:rPr>
                <w:bCs/>
                <w:sz w:val="28"/>
                <w:szCs w:val="28"/>
                <w:lang w:val="uk-UA"/>
              </w:rPr>
            </w:pPr>
            <w:r w:rsidRPr="00DB100B">
              <w:rPr>
                <w:bCs/>
                <w:sz w:val="28"/>
                <w:szCs w:val="28"/>
                <w:lang w:val="uk-UA"/>
              </w:rPr>
              <w:t>Ужгородського</w:t>
            </w:r>
            <w:r w:rsidR="00AA45BB" w:rsidRPr="00DB100B">
              <w:rPr>
                <w:bCs/>
                <w:sz w:val="28"/>
                <w:szCs w:val="28"/>
                <w:lang w:val="uk-UA"/>
              </w:rPr>
              <w:t xml:space="preserve"> району</w:t>
            </w:r>
          </w:p>
          <w:p w14:paraId="7D23DCD6" w14:textId="77777777" w:rsidR="00AA45BB" w:rsidRPr="00DB100B" w:rsidRDefault="00AA45BB" w:rsidP="00AA45BB">
            <w:pPr>
              <w:ind w:right="-816"/>
              <w:rPr>
                <w:bCs/>
                <w:sz w:val="28"/>
                <w:szCs w:val="28"/>
                <w:lang w:val="uk-UA"/>
              </w:rPr>
            </w:pPr>
            <w:r w:rsidRPr="00DB100B">
              <w:rPr>
                <w:bCs/>
                <w:sz w:val="28"/>
                <w:szCs w:val="28"/>
                <w:lang w:val="uk-UA"/>
              </w:rPr>
              <w:t>Закарпатської області</w:t>
            </w:r>
          </w:p>
          <w:p w14:paraId="7E4ED9DF" w14:textId="264A1334" w:rsidR="006F34B6" w:rsidRPr="00DB100B" w:rsidRDefault="00EA07C9" w:rsidP="00DB100B">
            <w:pPr>
              <w:tabs>
                <w:tab w:val="left" w:pos="142"/>
              </w:tabs>
              <w:ind w:right="-816"/>
              <w:rPr>
                <w:sz w:val="28"/>
                <w:szCs w:val="28"/>
                <w:lang w:val="uk-UA"/>
              </w:rPr>
            </w:pPr>
            <w:r w:rsidRPr="00DB100B">
              <w:rPr>
                <w:bCs/>
                <w:sz w:val="28"/>
                <w:szCs w:val="28"/>
                <w:lang w:val="uk-UA"/>
              </w:rPr>
              <w:t>89425</w:t>
            </w:r>
            <w:r>
              <w:rPr>
                <w:bCs/>
                <w:sz w:val="28"/>
                <w:szCs w:val="28"/>
                <w:lang w:val="uk-UA"/>
              </w:rPr>
              <w:t xml:space="preserve">, </w:t>
            </w:r>
            <w:r w:rsidRPr="00DB100B">
              <w:rPr>
                <w:bCs/>
                <w:sz w:val="28"/>
                <w:szCs w:val="28"/>
                <w:lang w:val="uk-UA"/>
              </w:rPr>
              <w:t>с. Баранинці</w:t>
            </w:r>
            <w:r w:rsidRPr="00DB100B">
              <w:rPr>
                <w:bCs/>
                <w:sz w:val="28"/>
                <w:szCs w:val="28"/>
              </w:rPr>
              <w:t xml:space="preserve">, </w:t>
            </w:r>
            <w:r w:rsidRPr="00DB100B">
              <w:rPr>
                <w:bCs/>
                <w:sz w:val="28"/>
                <w:szCs w:val="28"/>
                <w:lang w:val="uk-UA"/>
              </w:rPr>
              <w:t xml:space="preserve"> </w:t>
            </w:r>
            <w:r w:rsidR="00DB100B" w:rsidRPr="00DB100B">
              <w:rPr>
                <w:bCs/>
                <w:sz w:val="28"/>
                <w:szCs w:val="28"/>
                <w:lang w:val="uk-UA"/>
              </w:rPr>
              <w:t>вул. Центральна, №42</w:t>
            </w:r>
            <w:r w:rsidR="00AA45BB" w:rsidRPr="00DB100B">
              <w:rPr>
                <w:bCs/>
                <w:sz w:val="28"/>
                <w:szCs w:val="28"/>
              </w:rPr>
              <w:t xml:space="preserve">, </w:t>
            </w:r>
          </w:p>
        </w:tc>
      </w:tr>
      <w:tr w:rsidR="00DB100B" w:rsidRPr="00DB100B" w14:paraId="4E639F84" w14:textId="77777777" w:rsidTr="0047269E">
        <w:tc>
          <w:tcPr>
            <w:tcW w:w="421" w:type="dxa"/>
          </w:tcPr>
          <w:p w14:paraId="25538DF0" w14:textId="77777777" w:rsidR="006F34B6" w:rsidRPr="00DB100B" w:rsidRDefault="006F34B6" w:rsidP="00870A39">
            <w:pPr>
              <w:numPr>
                <w:ilvl w:val="0"/>
                <w:numId w:val="1"/>
              </w:numPr>
              <w:jc w:val="center"/>
              <w:rPr>
                <w:sz w:val="28"/>
                <w:szCs w:val="28"/>
                <w:lang w:val="uk-UA"/>
              </w:rPr>
            </w:pPr>
          </w:p>
        </w:tc>
        <w:tc>
          <w:tcPr>
            <w:tcW w:w="3402" w:type="dxa"/>
          </w:tcPr>
          <w:p w14:paraId="1178F247" w14:textId="77777777" w:rsidR="006F34B6" w:rsidRPr="00DB100B" w:rsidRDefault="006F34B6" w:rsidP="00870A39">
            <w:pPr>
              <w:rPr>
                <w:sz w:val="28"/>
                <w:szCs w:val="28"/>
                <w:lang w:val="uk-UA"/>
              </w:rPr>
            </w:pPr>
            <w:r w:rsidRPr="00DB100B">
              <w:rPr>
                <w:sz w:val="28"/>
                <w:szCs w:val="28"/>
                <w:lang w:val="uk-UA"/>
              </w:rPr>
              <w:t>Вид та основні цілі документа державного планування, його зв’язок з іншими документами державного планування</w:t>
            </w:r>
          </w:p>
        </w:tc>
        <w:tc>
          <w:tcPr>
            <w:tcW w:w="5522" w:type="dxa"/>
          </w:tcPr>
          <w:p w14:paraId="67F34936" w14:textId="6F4AD7AE" w:rsidR="0081720B" w:rsidRPr="00DB100B" w:rsidRDefault="006F34B6" w:rsidP="00EA07C9">
            <w:pPr>
              <w:jc w:val="both"/>
              <w:rPr>
                <w:sz w:val="28"/>
                <w:szCs w:val="28"/>
              </w:rPr>
            </w:pPr>
            <w:r w:rsidRPr="00DB100B">
              <w:rPr>
                <w:sz w:val="28"/>
                <w:szCs w:val="28"/>
              </w:rPr>
              <w:t xml:space="preserve">Проект </w:t>
            </w:r>
            <w:r w:rsidR="00AA45BB" w:rsidRPr="00DB100B">
              <w:rPr>
                <w:sz w:val="28"/>
                <w:szCs w:val="28"/>
              </w:rPr>
              <w:t>«</w:t>
            </w:r>
            <w:proofErr w:type="gramStart"/>
            <w:r w:rsidR="00EA07C9">
              <w:rPr>
                <w:sz w:val="28"/>
                <w:szCs w:val="28"/>
                <w:lang w:val="uk-UA"/>
              </w:rPr>
              <w:t>Д</w:t>
            </w:r>
            <w:r w:rsidR="00DB100B" w:rsidRPr="00DB100B">
              <w:rPr>
                <w:sz w:val="28"/>
                <w:szCs w:val="28"/>
                <w:lang w:val="uk-UA"/>
              </w:rPr>
              <w:t>етальн</w:t>
            </w:r>
            <w:r w:rsidR="00EA07C9">
              <w:rPr>
                <w:sz w:val="28"/>
                <w:szCs w:val="28"/>
                <w:lang w:val="uk-UA"/>
              </w:rPr>
              <w:t xml:space="preserve">ий </w:t>
            </w:r>
            <w:r w:rsidR="00DB100B" w:rsidRPr="00DB100B">
              <w:rPr>
                <w:sz w:val="28"/>
                <w:szCs w:val="28"/>
                <w:lang w:val="uk-UA"/>
              </w:rPr>
              <w:t xml:space="preserve"> план</w:t>
            </w:r>
            <w:proofErr w:type="gramEnd"/>
            <w:r w:rsidR="00DB100B" w:rsidRPr="00DB100B">
              <w:rPr>
                <w:sz w:val="28"/>
                <w:szCs w:val="28"/>
                <w:lang w:val="uk-UA"/>
              </w:rPr>
              <w:t xml:space="preserve"> території </w:t>
            </w:r>
            <w:r w:rsidR="00EA07C9">
              <w:rPr>
                <w:sz w:val="28"/>
                <w:szCs w:val="28"/>
                <w:lang w:val="uk-UA"/>
              </w:rPr>
              <w:t xml:space="preserve">за </w:t>
            </w:r>
            <w:r w:rsidR="00DB100B" w:rsidRPr="00EA07C9">
              <w:rPr>
                <w:sz w:val="28"/>
                <w:szCs w:val="28"/>
                <w:lang w:val="uk-UA"/>
              </w:rPr>
              <w:t>адресою</w:t>
            </w:r>
            <w:r w:rsidR="00EA07C9" w:rsidRPr="00EA07C9">
              <w:t xml:space="preserve"> </w:t>
            </w:r>
            <w:r w:rsidR="00EA07C9" w:rsidRPr="00EA07C9">
              <w:rPr>
                <w:sz w:val="28"/>
                <w:szCs w:val="28"/>
                <w:lang w:val="uk-UA"/>
              </w:rPr>
              <w:t xml:space="preserve">с. Баранинці, </w:t>
            </w:r>
            <w:r w:rsidR="00DB100B" w:rsidRPr="00EA07C9">
              <w:rPr>
                <w:sz w:val="28"/>
                <w:szCs w:val="28"/>
                <w:lang w:val="uk-UA"/>
              </w:rPr>
              <w:t>вул. Об’їзна</w:t>
            </w:r>
            <w:r w:rsidR="00EA07C9" w:rsidRPr="00EA07C9">
              <w:rPr>
                <w:sz w:val="28"/>
                <w:szCs w:val="28"/>
                <w:lang w:val="uk-UA"/>
              </w:rPr>
              <w:t>»</w:t>
            </w:r>
            <w:r w:rsidR="00DB100B" w:rsidRPr="00EA07C9">
              <w:rPr>
                <w:sz w:val="28"/>
                <w:szCs w:val="28"/>
                <w:lang w:val="uk-UA"/>
              </w:rPr>
              <w:t xml:space="preserve"> </w:t>
            </w:r>
            <w:proofErr w:type="spellStart"/>
            <w:r w:rsidR="0081720B" w:rsidRPr="00DB100B">
              <w:rPr>
                <w:sz w:val="28"/>
                <w:szCs w:val="28"/>
              </w:rPr>
              <w:t>розроблено</w:t>
            </w:r>
            <w:proofErr w:type="spellEnd"/>
            <w:r w:rsidR="0081720B" w:rsidRPr="00DB100B">
              <w:rPr>
                <w:sz w:val="28"/>
                <w:szCs w:val="28"/>
              </w:rPr>
              <w:t xml:space="preserve"> на </w:t>
            </w:r>
            <w:proofErr w:type="spellStart"/>
            <w:r w:rsidR="0081720B" w:rsidRPr="00DB100B">
              <w:rPr>
                <w:sz w:val="28"/>
                <w:szCs w:val="28"/>
              </w:rPr>
              <w:t>підставі</w:t>
            </w:r>
            <w:proofErr w:type="spellEnd"/>
            <w:r w:rsidR="0081720B" w:rsidRPr="00DB100B">
              <w:rPr>
                <w:sz w:val="28"/>
                <w:szCs w:val="28"/>
              </w:rPr>
              <w:t xml:space="preserve"> </w:t>
            </w:r>
            <w:proofErr w:type="spellStart"/>
            <w:r w:rsidR="0081720B" w:rsidRPr="00DB100B">
              <w:rPr>
                <w:sz w:val="28"/>
                <w:szCs w:val="28"/>
              </w:rPr>
              <w:t>рішення</w:t>
            </w:r>
            <w:proofErr w:type="spellEnd"/>
            <w:r w:rsidR="0081720B" w:rsidRPr="00DB100B">
              <w:rPr>
                <w:sz w:val="28"/>
                <w:szCs w:val="28"/>
              </w:rPr>
              <w:t xml:space="preserve"> </w:t>
            </w:r>
            <w:proofErr w:type="spellStart"/>
            <w:r w:rsidR="00DB100B" w:rsidRPr="00DB100B">
              <w:rPr>
                <w:sz w:val="28"/>
                <w:szCs w:val="28"/>
                <w:lang w:val="uk-UA"/>
              </w:rPr>
              <w:t>Баранинськ</w:t>
            </w:r>
            <w:r w:rsidR="00E13F19">
              <w:rPr>
                <w:sz w:val="28"/>
                <w:szCs w:val="28"/>
                <w:lang w:val="uk-UA"/>
              </w:rPr>
              <w:t>ої</w:t>
            </w:r>
            <w:proofErr w:type="spellEnd"/>
            <w:r w:rsidR="00DB100B" w:rsidRPr="00DB100B">
              <w:rPr>
                <w:sz w:val="28"/>
                <w:szCs w:val="28"/>
                <w:lang w:val="uk-UA"/>
              </w:rPr>
              <w:t xml:space="preserve"> </w:t>
            </w:r>
            <w:proofErr w:type="spellStart"/>
            <w:r w:rsidR="00172D65" w:rsidRPr="00DB100B">
              <w:rPr>
                <w:sz w:val="28"/>
                <w:szCs w:val="28"/>
              </w:rPr>
              <w:t>сільської</w:t>
            </w:r>
            <w:proofErr w:type="spellEnd"/>
            <w:r w:rsidR="00172D65" w:rsidRPr="00DB100B">
              <w:rPr>
                <w:sz w:val="28"/>
                <w:szCs w:val="28"/>
              </w:rPr>
              <w:t xml:space="preserve"> ради </w:t>
            </w:r>
            <w:r w:rsidR="0081720B" w:rsidRPr="00DB100B">
              <w:rPr>
                <w:sz w:val="28"/>
                <w:szCs w:val="28"/>
              </w:rPr>
              <w:t xml:space="preserve"> та </w:t>
            </w:r>
            <w:proofErr w:type="spellStart"/>
            <w:r w:rsidR="0081720B" w:rsidRPr="00DB100B">
              <w:rPr>
                <w:sz w:val="28"/>
                <w:szCs w:val="28"/>
              </w:rPr>
              <w:t>завдання</w:t>
            </w:r>
            <w:proofErr w:type="spellEnd"/>
            <w:r w:rsidR="0081720B" w:rsidRPr="00DB100B">
              <w:rPr>
                <w:sz w:val="28"/>
                <w:szCs w:val="28"/>
              </w:rPr>
              <w:t xml:space="preserve"> на </w:t>
            </w:r>
            <w:proofErr w:type="spellStart"/>
            <w:r w:rsidR="0081720B" w:rsidRPr="00DB100B">
              <w:rPr>
                <w:sz w:val="28"/>
                <w:szCs w:val="28"/>
              </w:rPr>
              <w:t>проектування</w:t>
            </w:r>
            <w:proofErr w:type="spellEnd"/>
            <w:r w:rsidR="0081720B" w:rsidRPr="00DB100B">
              <w:rPr>
                <w:sz w:val="28"/>
                <w:szCs w:val="28"/>
              </w:rPr>
              <w:t>.</w:t>
            </w:r>
          </w:p>
          <w:p w14:paraId="7B4C7807" w14:textId="77777777" w:rsidR="00785850" w:rsidRPr="00DB100B" w:rsidRDefault="001C7612" w:rsidP="00785850">
            <w:pPr>
              <w:pStyle w:val="a4"/>
              <w:spacing w:before="0"/>
              <w:ind w:firstLine="0"/>
              <w:rPr>
                <w:sz w:val="28"/>
                <w:szCs w:val="28"/>
              </w:rPr>
            </w:pPr>
            <w:r w:rsidRPr="00DB100B">
              <w:rPr>
                <w:sz w:val="28"/>
                <w:szCs w:val="28"/>
              </w:rPr>
              <w:t>П</w:t>
            </w:r>
            <w:r w:rsidR="0081720B" w:rsidRPr="00DB100B">
              <w:rPr>
                <w:sz w:val="28"/>
                <w:szCs w:val="28"/>
              </w:rPr>
              <w:t xml:space="preserve">роект детального планування території розроблено відповідно до Конституції України, Цивільного кодексу України,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w:t>
            </w:r>
          </w:p>
          <w:p w14:paraId="3FA59576" w14:textId="4C828073" w:rsidR="006F34B6" w:rsidRPr="00DB100B" w:rsidRDefault="004767B6" w:rsidP="00785850">
            <w:pPr>
              <w:pStyle w:val="a4"/>
              <w:spacing w:before="0"/>
              <w:ind w:firstLine="0"/>
              <w:rPr>
                <w:sz w:val="28"/>
                <w:szCs w:val="28"/>
              </w:rPr>
            </w:pPr>
            <w:r w:rsidRPr="00DB100B">
              <w:rPr>
                <w:sz w:val="28"/>
                <w:szCs w:val="28"/>
              </w:rPr>
              <w:t xml:space="preserve">ДБН </w:t>
            </w:r>
            <w:r w:rsidR="00785850" w:rsidRPr="00DB100B">
              <w:rPr>
                <w:sz w:val="28"/>
                <w:szCs w:val="28"/>
              </w:rPr>
              <w:t>Б.2.2-2019</w:t>
            </w:r>
            <w:r w:rsidRPr="00DB100B">
              <w:rPr>
                <w:sz w:val="28"/>
                <w:szCs w:val="28"/>
              </w:rPr>
              <w:t xml:space="preserve"> «</w:t>
            </w:r>
            <w:r w:rsidR="00785850" w:rsidRPr="00DB100B">
              <w:rPr>
                <w:sz w:val="28"/>
                <w:szCs w:val="28"/>
              </w:rPr>
              <w:t>Планування та  забудова територій</w:t>
            </w:r>
            <w:r w:rsidRPr="00DB100B">
              <w:rPr>
                <w:sz w:val="28"/>
                <w:szCs w:val="28"/>
              </w:rPr>
              <w:t>»</w:t>
            </w:r>
          </w:p>
        </w:tc>
        <w:bookmarkStart w:id="0" w:name="_GoBack"/>
        <w:bookmarkEnd w:id="0"/>
      </w:tr>
      <w:tr w:rsidR="00DB100B" w:rsidRPr="003A2AD4" w14:paraId="77F3724B" w14:textId="77777777" w:rsidTr="0047269E">
        <w:trPr>
          <w:trHeight w:val="556"/>
        </w:trPr>
        <w:tc>
          <w:tcPr>
            <w:tcW w:w="421" w:type="dxa"/>
            <w:tcBorders>
              <w:bottom w:val="single" w:sz="4" w:space="0" w:color="auto"/>
            </w:tcBorders>
          </w:tcPr>
          <w:p w14:paraId="5EEB6803" w14:textId="77777777" w:rsidR="006F34B6" w:rsidRPr="00DB100B" w:rsidRDefault="006F34B6" w:rsidP="00870A39">
            <w:pPr>
              <w:numPr>
                <w:ilvl w:val="0"/>
                <w:numId w:val="1"/>
              </w:numPr>
              <w:jc w:val="center"/>
              <w:rPr>
                <w:sz w:val="28"/>
                <w:szCs w:val="28"/>
                <w:lang w:val="uk-UA"/>
              </w:rPr>
            </w:pPr>
          </w:p>
        </w:tc>
        <w:tc>
          <w:tcPr>
            <w:tcW w:w="3402" w:type="dxa"/>
            <w:tcBorders>
              <w:bottom w:val="single" w:sz="4" w:space="0" w:color="auto"/>
            </w:tcBorders>
          </w:tcPr>
          <w:p w14:paraId="08022BDC" w14:textId="77777777" w:rsidR="006F34B6" w:rsidRPr="00DB100B" w:rsidRDefault="006F34B6" w:rsidP="00870A39">
            <w:pPr>
              <w:rPr>
                <w:sz w:val="28"/>
                <w:szCs w:val="28"/>
                <w:lang w:val="uk-UA"/>
              </w:rPr>
            </w:pPr>
            <w:r w:rsidRPr="00DB100B">
              <w:rPr>
                <w:sz w:val="28"/>
                <w:szCs w:val="28"/>
                <w:lang w:val="uk-UA"/>
              </w:rPr>
              <w:t>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tc>
        <w:tc>
          <w:tcPr>
            <w:tcW w:w="5522" w:type="dxa"/>
            <w:tcBorders>
              <w:bottom w:val="single" w:sz="4" w:space="0" w:color="auto"/>
            </w:tcBorders>
          </w:tcPr>
          <w:p w14:paraId="50C3C87F" w14:textId="77777777" w:rsidR="00EA07C9" w:rsidRDefault="00EA07C9" w:rsidP="0047269E">
            <w:pPr>
              <w:autoSpaceDE w:val="0"/>
              <w:autoSpaceDN w:val="0"/>
              <w:adjustRightInd w:val="0"/>
              <w:jc w:val="both"/>
              <w:rPr>
                <w:sz w:val="28"/>
                <w:lang w:val="uk-UA"/>
              </w:rPr>
            </w:pPr>
            <w:bookmarkStart w:id="1" w:name="2__Перша_категорія_видів_планованої_діял"/>
            <w:bookmarkEnd w:id="1"/>
          </w:p>
          <w:p w14:paraId="5659588F" w14:textId="25412F64" w:rsidR="00AA3C8E" w:rsidRPr="00DB100B" w:rsidRDefault="00CE00D5" w:rsidP="0047269E">
            <w:pPr>
              <w:autoSpaceDE w:val="0"/>
              <w:autoSpaceDN w:val="0"/>
              <w:adjustRightInd w:val="0"/>
              <w:jc w:val="both"/>
              <w:rPr>
                <w:sz w:val="28"/>
                <w:szCs w:val="28"/>
                <w:lang w:val="uk-UA"/>
              </w:rPr>
            </w:pPr>
            <w:r w:rsidRPr="00DB100B">
              <w:rPr>
                <w:sz w:val="28"/>
                <w:lang w:val="uk-UA"/>
              </w:rPr>
              <w:t>Відповідно до статті 3</w:t>
            </w:r>
            <w:r w:rsidR="00AA3C8E" w:rsidRPr="00DB100B">
              <w:rPr>
                <w:sz w:val="32"/>
                <w:szCs w:val="28"/>
                <w:lang w:val="uk-UA"/>
              </w:rPr>
              <w:t xml:space="preserve"> </w:t>
            </w:r>
            <w:r w:rsidR="00AA3C8E" w:rsidRPr="00DB100B">
              <w:rPr>
                <w:sz w:val="28"/>
                <w:szCs w:val="28"/>
                <w:lang w:val="uk-UA"/>
              </w:rPr>
              <w:t>Закон</w:t>
            </w:r>
            <w:r w:rsidRPr="00DB100B">
              <w:rPr>
                <w:sz w:val="28"/>
                <w:szCs w:val="28"/>
                <w:lang w:val="uk-UA"/>
              </w:rPr>
              <w:t>у</w:t>
            </w:r>
            <w:r w:rsidR="00AA3C8E" w:rsidRPr="00DB100B">
              <w:rPr>
                <w:sz w:val="28"/>
                <w:szCs w:val="28"/>
                <w:lang w:val="uk-UA"/>
              </w:rPr>
              <w:t xml:space="preserve"> України «Про оцінку впливу на довкілля», проектом містобудівної документації</w:t>
            </w:r>
            <w:r w:rsidR="0047269E" w:rsidRPr="00DB100B">
              <w:rPr>
                <w:sz w:val="28"/>
                <w:szCs w:val="28"/>
                <w:lang w:val="uk-UA"/>
              </w:rPr>
              <w:t xml:space="preserve"> </w:t>
            </w:r>
            <w:r w:rsidR="00AA3C8E" w:rsidRPr="00DB100B">
              <w:rPr>
                <w:sz w:val="28"/>
                <w:szCs w:val="28"/>
                <w:lang w:val="uk-UA"/>
              </w:rPr>
              <w:t>відносяться до</w:t>
            </w:r>
            <w:r w:rsidR="0047269E" w:rsidRPr="00DB100B">
              <w:rPr>
                <w:sz w:val="28"/>
                <w:szCs w:val="28"/>
                <w:lang w:val="uk-UA"/>
              </w:rPr>
              <w:t xml:space="preserve">, </w:t>
            </w:r>
            <w:r w:rsidR="0047269E" w:rsidRPr="00DB100B">
              <w:rPr>
                <w:sz w:val="28"/>
                <w:szCs w:val="28"/>
                <w:shd w:val="clear" w:color="auto" w:fill="FFFFFF"/>
                <w:lang w:val="uk-UA"/>
              </w:rPr>
              <w:t>другої категорії видів планованої діяльності та об’єктів, які можуть мати значний вплив на довкілля та підлягають оцінці впливу на довкілля (</w:t>
            </w:r>
            <w:r w:rsidR="0047269E" w:rsidRPr="00DB100B">
              <w:rPr>
                <w:sz w:val="28"/>
                <w:szCs w:val="28"/>
                <w:lang w:val="uk-UA"/>
              </w:rPr>
              <w:t>перероблення корисних копалин</w:t>
            </w:r>
            <w:r w:rsidR="0047269E" w:rsidRPr="00DB100B">
              <w:rPr>
                <w:sz w:val="28"/>
                <w:szCs w:val="28"/>
                <w:shd w:val="clear" w:color="auto" w:fill="FFFFFF"/>
                <w:lang w:val="uk-UA"/>
              </w:rPr>
              <w:t>)</w:t>
            </w:r>
          </w:p>
          <w:p w14:paraId="3CA74449" w14:textId="77777777" w:rsidR="00172D65" w:rsidRPr="00DB100B" w:rsidRDefault="00172D65" w:rsidP="0047269E">
            <w:pPr>
              <w:autoSpaceDE w:val="0"/>
              <w:autoSpaceDN w:val="0"/>
              <w:adjustRightInd w:val="0"/>
              <w:jc w:val="both"/>
              <w:rPr>
                <w:sz w:val="28"/>
                <w:szCs w:val="28"/>
                <w:lang w:val="uk-UA"/>
              </w:rPr>
            </w:pPr>
          </w:p>
        </w:tc>
      </w:tr>
      <w:tr w:rsidR="00DB100B" w:rsidRPr="003A2AD4" w14:paraId="7417C7E7" w14:textId="77777777" w:rsidTr="0047269E">
        <w:trPr>
          <w:trHeight w:val="230"/>
        </w:trPr>
        <w:tc>
          <w:tcPr>
            <w:tcW w:w="421" w:type="dxa"/>
            <w:tcBorders>
              <w:bottom w:val="nil"/>
            </w:tcBorders>
          </w:tcPr>
          <w:p w14:paraId="517495EA" w14:textId="77777777" w:rsidR="006F34B6" w:rsidRPr="00DB100B" w:rsidRDefault="006F34B6" w:rsidP="00870A39">
            <w:pPr>
              <w:numPr>
                <w:ilvl w:val="0"/>
                <w:numId w:val="1"/>
              </w:numPr>
              <w:jc w:val="center"/>
              <w:rPr>
                <w:sz w:val="28"/>
                <w:szCs w:val="28"/>
                <w:lang w:val="uk-UA"/>
              </w:rPr>
            </w:pPr>
            <w:r w:rsidRPr="00DB100B">
              <w:rPr>
                <w:lang w:val="uk-UA"/>
              </w:rPr>
              <w:br w:type="page"/>
            </w:r>
          </w:p>
        </w:tc>
        <w:tc>
          <w:tcPr>
            <w:tcW w:w="3402" w:type="dxa"/>
            <w:tcBorders>
              <w:bottom w:val="nil"/>
            </w:tcBorders>
          </w:tcPr>
          <w:p w14:paraId="00A816CA" w14:textId="77777777" w:rsidR="006F34B6" w:rsidRPr="00DB100B" w:rsidRDefault="006F34B6" w:rsidP="00870A39">
            <w:pPr>
              <w:rPr>
                <w:sz w:val="28"/>
                <w:szCs w:val="28"/>
                <w:lang w:val="uk-UA"/>
              </w:rPr>
            </w:pPr>
            <w:r w:rsidRPr="00DB100B">
              <w:rPr>
                <w:sz w:val="28"/>
                <w:szCs w:val="28"/>
                <w:lang w:val="uk-UA"/>
              </w:rPr>
              <w:t>Ймовірні наслідки</w:t>
            </w:r>
          </w:p>
          <w:p w14:paraId="4B7F029F" w14:textId="77777777" w:rsidR="00CE00D5" w:rsidRPr="00DB100B" w:rsidRDefault="00CE00D5" w:rsidP="00870A39">
            <w:pPr>
              <w:rPr>
                <w:sz w:val="28"/>
                <w:szCs w:val="28"/>
                <w:lang w:val="uk-UA"/>
              </w:rPr>
            </w:pPr>
            <w:r w:rsidRPr="00DB100B">
              <w:rPr>
                <w:sz w:val="28"/>
                <w:szCs w:val="28"/>
                <w:lang w:val="uk-UA"/>
              </w:rPr>
              <w:t>- для довкілля, у тому числі для здоров’я населення</w:t>
            </w:r>
          </w:p>
        </w:tc>
        <w:tc>
          <w:tcPr>
            <w:tcW w:w="5522" w:type="dxa"/>
            <w:tcBorders>
              <w:bottom w:val="nil"/>
            </w:tcBorders>
          </w:tcPr>
          <w:p w14:paraId="6294734A" w14:textId="77777777" w:rsidR="006F34B6" w:rsidRPr="00DB100B" w:rsidRDefault="00CE00D5" w:rsidP="00CE00D5">
            <w:pPr>
              <w:rPr>
                <w:sz w:val="28"/>
                <w:szCs w:val="28"/>
                <w:lang w:val="uk-UA"/>
              </w:rPr>
            </w:pPr>
            <w:r w:rsidRPr="00DB100B">
              <w:rPr>
                <w:sz w:val="28"/>
                <w:lang w:val="uk-UA"/>
              </w:rPr>
              <w:t>В ході здійснення СЕО мають бути оцінені ймовірні наслідки реалізації документа державного планування ДПТ, зокрема, мають бути оцінені наслідки для таких компонентів довкілля: ґрунти, атмосферне повітря, водні ресурси, стан фауни, флори, біорізноманіття, землі, кліматичні фактори, у тому числі для здоров’я населення</w:t>
            </w:r>
          </w:p>
        </w:tc>
      </w:tr>
      <w:tr w:rsidR="00DB100B" w:rsidRPr="003A2AD4" w14:paraId="127F4738" w14:textId="77777777" w:rsidTr="0047269E">
        <w:tc>
          <w:tcPr>
            <w:tcW w:w="421" w:type="dxa"/>
            <w:tcBorders>
              <w:top w:val="nil"/>
            </w:tcBorders>
          </w:tcPr>
          <w:p w14:paraId="4F5CE9F2" w14:textId="77777777" w:rsidR="006F34B6" w:rsidRPr="00DB100B" w:rsidRDefault="006F34B6" w:rsidP="00870A39">
            <w:pPr>
              <w:jc w:val="center"/>
              <w:rPr>
                <w:sz w:val="28"/>
                <w:szCs w:val="28"/>
                <w:lang w:val="uk-UA"/>
              </w:rPr>
            </w:pPr>
          </w:p>
        </w:tc>
        <w:tc>
          <w:tcPr>
            <w:tcW w:w="3402" w:type="dxa"/>
            <w:tcBorders>
              <w:top w:val="nil"/>
            </w:tcBorders>
          </w:tcPr>
          <w:p w14:paraId="3A87BAA9" w14:textId="77777777" w:rsidR="006F34B6" w:rsidRPr="00DB100B" w:rsidRDefault="006F34B6" w:rsidP="00CE00D5">
            <w:pPr>
              <w:rPr>
                <w:sz w:val="28"/>
                <w:szCs w:val="28"/>
                <w:lang w:val="uk-UA"/>
              </w:rPr>
            </w:pPr>
          </w:p>
        </w:tc>
        <w:tc>
          <w:tcPr>
            <w:tcW w:w="5522" w:type="dxa"/>
            <w:tcBorders>
              <w:top w:val="nil"/>
            </w:tcBorders>
          </w:tcPr>
          <w:p w14:paraId="0410C5C2" w14:textId="77777777" w:rsidR="006F34B6" w:rsidRPr="00DB100B" w:rsidRDefault="006F34B6" w:rsidP="00785850">
            <w:pPr>
              <w:ind w:firstLine="510"/>
              <w:jc w:val="both"/>
              <w:rPr>
                <w:sz w:val="28"/>
                <w:szCs w:val="28"/>
                <w:lang w:val="uk-UA"/>
              </w:rPr>
            </w:pPr>
          </w:p>
        </w:tc>
      </w:tr>
      <w:tr w:rsidR="00DB100B" w:rsidRPr="00DB100B" w14:paraId="3ED5CC6A" w14:textId="77777777" w:rsidTr="0047269E">
        <w:tc>
          <w:tcPr>
            <w:tcW w:w="421" w:type="dxa"/>
          </w:tcPr>
          <w:p w14:paraId="37DBFB79" w14:textId="77777777" w:rsidR="006F34B6" w:rsidRPr="00DB100B" w:rsidRDefault="006F34B6" w:rsidP="00870A39">
            <w:pPr>
              <w:jc w:val="center"/>
              <w:rPr>
                <w:sz w:val="28"/>
                <w:szCs w:val="28"/>
                <w:lang w:val="uk-UA"/>
              </w:rPr>
            </w:pPr>
          </w:p>
        </w:tc>
        <w:tc>
          <w:tcPr>
            <w:tcW w:w="3402" w:type="dxa"/>
          </w:tcPr>
          <w:p w14:paraId="0D4B196B" w14:textId="77777777" w:rsidR="006F34B6" w:rsidRPr="00DB100B" w:rsidRDefault="006F34B6" w:rsidP="00870A39">
            <w:pPr>
              <w:ind w:left="434"/>
              <w:rPr>
                <w:sz w:val="28"/>
                <w:szCs w:val="28"/>
                <w:lang w:val="uk-UA"/>
              </w:rPr>
            </w:pPr>
            <w:r w:rsidRPr="00DB100B">
              <w:rPr>
                <w:sz w:val="28"/>
                <w:szCs w:val="28"/>
                <w:lang w:val="uk-UA"/>
              </w:rPr>
              <w:t>- для територій з природоохоронним статусом</w:t>
            </w:r>
          </w:p>
        </w:tc>
        <w:tc>
          <w:tcPr>
            <w:tcW w:w="5522" w:type="dxa"/>
          </w:tcPr>
          <w:p w14:paraId="151AC3CA" w14:textId="77777777" w:rsidR="006F34B6" w:rsidRPr="00DB100B" w:rsidRDefault="006F34B6" w:rsidP="00870A39">
            <w:pPr>
              <w:rPr>
                <w:sz w:val="28"/>
                <w:szCs w:val="28"/>
                <w:lang w:val="uk-UA"/>
              </w:rPr>
            </w:pPr>
            <w:r w:rsidRPr="00DB100B">
              <w:rPr>
                <w:sz w:val="28"/>
                <w:szCs w:val="28"/>
                <w:lang w:val="uk-UA"/>
              </w:rPr>
              <w:t>Об’єкти природно-заповідного фонду в межах території проекту та на прилеглих територіях відсутні.</w:t>
            </w:r>
          </w:p>
        </w:tc>
      </w:tr>
      <w:tr w:rsidR="00DB100B" w:rsidRPr="00DB100B" w14:paraId="4C1DD255" w14:textId="77777777" w:rsidTr="0047269E">
        <w:tc>
          <w:tcPr>
            <w:tcW w:w="421" w:type="dxa"/>
          </w:tcPr>
          <w:p w14:paraId="2B0FC28B" w14:textId="77777777" w:rsidR="006F34B6" w:rsidRPr="00DB100B" w:rsidRDefault="006F34B6" w:rsidP="00870A39">
            <w:pPr>
              <w:jc w:val="center"/>
              <w:rPr>
                <w:sz w:val="28"/>
                <w:szCs w:val="28"/>
                <w:lang w:val="uk-UA"/>
              </w:rPr>
            </w:pPr>
          </w:p>
        </w:tc>
        <w:tc>
          <w:tcPr>
            <w:tcW w:w="3402" w:type="dxa"/>
          </w:tcPr>
          <w:p w14:paraId="16A725A4" w14:textId="77777777" w:rsidR="006F34B6" w:rsidRPr="00DB100B" w:rsidRDefault="006F34B6" w:rsidP="00870A39">
            <w:pPr>
              <w:ind w:left="434"/>
              <w:rPr>
                <w:sz w:val="28"/>
                <w:szCs w:val="28"/>
                <w:lang w:val="uk-UA"/>
              </w:rPr>
            </w:pPr>
            <w:r w:rsidRPr="00DB100B">
              <w:rPr>
                <w:sz w:val="28"/>
                <w:szCs w:val="28"/>
                <w:lang w:val="uk-UA"/>
              </w:rPr>
              <w:t>- транскордонні наслідки для довкілля, у тому числі для здоров’я населення</w:t>
            </w:r>
          </w:p>
        </w:tc>
        <w:tc>
          <w:tcPr>
            <w:tcW w:w="5522" w:type="dxa"/>
          </w:tcPr>
          <w:p w14:paraId="0CA2C90A" w14:textId="77777777" w:rsidR="00EA07C9" w:rsidRDefault="00EA07C9" w:rsidP="00DB100B">
            <w:pPr>
              <w:rPr>
                <w:sz w:val="28"/>
                <w:szCs w:val="28"/>
                <w:lang w:val="uk-UA"/>
              </w:rPr>
            </w:pPr>
          </w:p>
          <w:p w14:paraId="289BB3AC" w14:textId="77777777" w:rsidR="006F34B6" w:rsidRDefault="006F34B6" w:rsidP="00DB100B">
            <w:pPr>
              <w:rPr>
                <w:sz w:val="28"/>
                <w:szCs w:val="28"/>
                <w:lang w:val="uk-UA"/>
              </w:rPr>
            </w:pPr>
            <w:r w:rsidRPr="00DB100B">
              <w:rPr>
                <w:sz w:val="28"/>
                <w:szCs w:val="28"/>
                <w:lang w:val="uk-UA"/>
              </w:rPr>
              <w:t xml:space="preserve">Транскордонні наслідки для довкілля, у тому числі для здоров’я населення, </w:t>
            </w:r>
            <w:r w:rsidR="00DB100B" w:rsidRPr="00EA07C9">
              <w:rPr>
                <w:sz w:val="28"/>
                <w:szCs w:val="28"/>
                <w:lang w:val="uk-UA"/>
              </w:rPr>
              <w:t>незначні.</w:t>
            </w:r>
            <w:r w:rsidR="00E13F19" w:rsidRPr="00EA07C9">
              <w:rPr>
                <w:sz w:val="28"/>
                <w:szCs w:val="28"/>
                <w:lang w:val="uk-UA"/>
              </w:rPr>
              <w:t xml:space="preserve"> </w:t>
            </w:r>
          </w:p>
          <w:p w14:paraId="255BC192" w14:textId="3F9A96E5" w:rsidR="00EA07C9" w:rsidRPr="00DB100B" w:rsidRDefault="00EA07C9" w:rsidP="00DB100B">
            <w:pPr>
              <w:rPr>
                <w:sz w:val="28"/>
                <w:szCs w:val="28"/>
                <w:lang w:val="uk-UA"/>
              </w:rPr>
            </w:pPr>
          </w:p>
        </w:tc>
      </w:tr>
      <w:tr w:rsidR="00DB100B" w:rsidRPr="00DB100B" w14:paraId="14F9558E" w14:textId="77777777" w:rsidTr="0047269E">
        <w:tc>
          <w:tcPr>
            <w:tcW w:w="421" w:type="dxa"/>
          </w:tcPr>
          <w:p w14:paraId="2F1AEDFB" w14:textId="77777777" w:rsidR="006F34B6" w:rsidRPr="00DB100B" w:rsidRDefault="006F34B6" w:rsidP="00870A39">
            <w:pPr>
              <w:numPr>
                <w:ilvl w:val="0"/>
                <w:numId w:val="1"/>
              </w:numPr>
              <w:jc w:val="center"/>
              <w:rPr>
                <w:sz w:val="28"/>
                <w:szCs w:val="28"/>
                <w:lang w:val="uk-UA"/>
              </w:rPr>
            </w:pPr>
          </w:p>
        </w:tc>
        <w:tc>
          <w:tcPr>
            <w:tcW w:w="3402" w:type="dxa"/>
          </w:tcPr>
          <w:p w14:paraId="37288DA0" w14:textId="77777777" w:rsidR="006F34B6" w:rsidRPr="00DB100B" w:rsidRDefault="006F34B6" w:rsidP="00870A39">
            <w:pPr>
              <w:rPr>
                <w:sz w:val="28"/>
                <w:szCs w:val="28"/>
                <w:lang w:val="uk-UA"/>
              </w:rPr>
            </w:pPr>
            <w:r w:rsidRPr="00DB100B">
              <w:rPr>
                <w:sz w:val="28"/>
                <w:szCs w:val="28"/>
                <w:lang w:val="uk-UA"/>
              </w:rPr>
              <w:t>Виправдані альтернативи, які необхідно розглянути, у тому числі якщо документ державного планування не буде затверджено</w:t>
            </w:r>
          </w:p>
        </w:tc>
        <w:tc>
          <w:tcPr>
            <w:tcW w:w="5522" w:type="dxa"/>
          </w:tcPr>
          <w:p w14:paraId="29CE0BFE" w14:textId="41DEC422" w:rsidR="006F34B6" w:rsidRPr="00DB100B" w:rsidRDefault="006F34B6" w:rsidP="00121B7D">
            <w:pPr>
              <w:rPr>
                <w:sz w:val="28"/>
                <w:szCs w:val="28"/>
                <w:lang w:val="uk-UA"/>
              </w:rPr>
            </w:pPr>
            <w:r w:rsidRPr="00DB100B">
              <w:rPr>
                <w:sz w:val="28"/>
                <w:szCs w:val="28"/>
                <w:lang w:val="uk-UA"/>
              </w:rPr>
              <w:t>Альтернативні варіанти використання території будуть розглянуті на засід</w:t>
            </w:r>
            <w:r w:rsidR="00121B7D" w:rsidRPr="00DB100B">
              <w:rPr>
                <w:sz w:val="28"/>
                <w:szCs w:val="28"/>
                <w:lang w:val="uk-UA"/>
              </w:rPr>
              <w:t xml:space="preserve">анні </w:t>
            </w:r>
            <w:proofErr w:type="spellStart"/>
            <w:r w:rsidR="00DB100B" w:rsidRPr="00DB100B">
              <w:rPr>
                <w:sz w:val="28"/>
                <w:szCs w:val="28"/>
                <w:lang w:val="uk-UA"/>
              </w:rPr>
              <w:t>Баранинської</w:t>
            </w:r>
            <w:proofErr w:type="spellEnd"/>
            <w:r w:rsidR="00DB100B" w:rsidRPr="00DB100B">
              <w:rPr>
                <w:sz w:val="28"/>
                <w:szCs w:val="28"/>
                <w:lang w:val="uk-UA"/>
              </w:rPr>
              <w:t xml:space="preserve"> </w:t>
            </w:r>
            <w:r w:rsidR="00AB3ACE" w:rsidRPr="00DB100B">
              <w:rPr>
                <w:sz w:val="28"/>
                <w:szCs w:val="28"/>
                <w:lang w:val="uk-UA"/>
              </w:rPr>
              <w:t>сільської ради.</w:t>
            </w:r>
          </w:p>
          <w:p w14:paraId="60AED315" w14:textId="77777777" w:rsidR="006F34B6" w:rsidRPr="00DB100B" w:rsidRDefault="006F34B6" w:rsidP="00870A39">
            <w:pPr>
              <w:rPr>
                <w:sz w:val="28"/>
                <w:szCs w:val="28"/>
                <w:lang w:val="uk-UA"/>
              </w:rPr>
            </w:pPr>
          </w:p>
          <w:p w14:paraId="2DE4B53B" w14:textId="77777777" w:rsidR="006F34B6" w:rsidRPr="00DB100B" w:rsidRDefault="006F34B6" w:rsidP="00121B7D">
            <w:pPr>
              <w:rPr>
                <w:sz w:val="28"/>
                <w:szCs w:val="28"/>
                <w:lang w:val="uk-UA"/>
              </w:rPr>
            </w:pPr>
            <w:r w:rsidRPr="00DB100B">
              <w:rPr>
                <w:sz w:val="28"/>
                <w:szCs w:val="28"/>
                <w:lang w:val="uk-UA"/>
              </w:rPr>
              <w:t xml:space="preserve">У разі не затвердження детального плану території </w:t>
            </w:r>
            <w:r w:rsidR="008D7A80" w:rsidRPr="00DB100B">
              <w:rPr>
                <w:sz w:val="28"/>
                <w:szCs w:val="28"/>
                <w:lang w:val="uk-UA"/>
              </w:rPr>
              <w:t>функціональне призначення земельної ділянки не буде змінено</w:t>
            </w:r>
            <w:r w:rsidRPr="00DB100B">
              <w:rPr>
                <w:sz w:val="28"/>
                <w:szCs w:val="28"/>
                <w:lang w:val="uk-UA"/>
              </w:rPr>
              <w:t>.</w:t>
            </w:r>
          </w:p>
          <w:p w14:paraId="3A0961CA" w14:textId="77777777" w:rsidR="006F34B6" w:rsidRPr="00DB100B" w:rsidRDefault="006F34B6" w:rsidP="00870A39">
            <w:pPr>
              <w:rPr>
                <w:sz w:val="28"/>
                <w:szCs w:val="28"/>
                <w:lang w:val="uk-UA"/>
              </w:rPr>
            </w:pPr>
          </w:p>
        </w:tc>
      </w:tr>
      <w:tr w:rsidR="00DB100B" w:rsidRPr="00DB100B" w14:paraId="1DD1611B" w14:textId="77777777" w:rsidTr="0047269E">
        <w:trPr>
          <w:cantSplit/>
        </w:trPr>
        <w:tc>
          <w:tcPr>
            <w:tcW w:w="421" w:type="dxa"/>
          </w:tcPr>
          <w:p w14:paraId="3C53F3E4" w14:textId="77777777" w:rsidR="006F34B6" w:rsidRPr="00DB100B" w:rsidRDefault="006F34B6" w:rsidP="00870A39">
            <w:pPr>
              <w:numPr>
                <w:ilvl w:val="0"/>
                <w:numId w:val="1"/>
              </w:numPr>
              <w:jc w:val="center"/>
              <w:rPr>
                <w:sz w:val="28"/>
                <w:szCs w:val="28"/>
                <w:lang w:val="uk-UA"/>
              </w:rPr>
            </w:pPr>
          </w:p>
        </w:tc>
        <w:tc>
          <w:tcPr>
            <w:tcW w:w="3402" w:type="dxa"/>
          </w:tcPr>
          <w:p w14:paraId="7BC03A5B" w14:textId="77777777" w:rsidR="006F34B6" w:rsidRPr="00DB100B" w:rsidRDefault="006F34B6" w:rsidP="00870A39">
            <w:pPr>
              <w:rPr>
                <w:sz w:val="28"/>
                <w:szCs w:val="28"/>
                <w:lang w:val="uk-UA"/>
              </w:rPr>
            </w:pPr>
            <w:r w:rsidRPr="00DB100B">
              <w:rPr>
                <w:sz w:val="28"/>
                <w:szCs w:val="28"/>
                <w:lang w:val="uk-UA"/>
              </w:rPr>
              <w:t>Дослідження, які необхідно провести, методи і критерії, що використовуватимуться під час стратегічної екологічної оцінки</w:t>
            </w:r>
          </w:p>
        </w:tc>
        <w:tc>
          <w:tcPr>
            <w:tcW w:w="5522" w:type="dxa"/>
          </w:tcPr>
          <w:p w14:paraId="188BAEAC" w14:textId="77777777" w:rsidR="006F34B6" w:rsidRPr="00DB100B" w:rsidRDefault="006F34B6" w:rsidP="00870A39">
            <w:pPr>
              <w:autoSpaceDE w:val="0"/>
              <w:autoSpaceDN w:val="0"/>
              <w:adjustRightInd w:val="0"/>
              <w:jc w:val="both"/>
              <w:rPr>
                <w:sz w:val="28"/>
                <w:szCs w:val="28"/>
                <w:lang w:val="uk-UA"/>
              </w:rPr>
            </w:pPr>
            <w:r w:rsidRPr="00DB100B">
              <w:rPr>
                <w:sz w:val="28"/>
                <w:szCs w:val="28"/>
                <w:lang w:val="uk-UA"/>
              </w:rPr>
              <w:t xml:space="preserve">Основним критерієм під час стратегічної екологічної оцінки містобудівної документації є її відповідність  державним будівельним нормам, санітарним нормам і правилам, вимогам </w:t>
            </w:r>
            <w:r w:rsidR="00FC14CF" w:rsidRPr="00DB100B">
              <w:rPr>
                <w:sz w:val="28"/>
                <w:szCs w:val="28"/>
                <w:lang w:val="uk-UA"/>
              </w:rPr>
              <w:t>пам’ятко охоронного</w:t>
            </w:r>
            <w:r w:rsidRPr="00DB100B">
              <w:rPr>
                <w:sz w:val="28"/>
                <w:szCs w:val="28"/>
                <w:lang w:val="uk-UA"/>
              </w:rPr>
              <w:t xml:space="preserve"> законодавства.</w:t>
            </w:r>
          </w:p>
          <w:p w14:paraId="41B8A878" w14:textId="77777777" w:rsidR="006F34B6" w:rsidRPr="00DB100B" w:rsidRDefault="006F34B6" w:rsidP="00870A39">
            <w:pPr>
              <w:autoSpaceDE w:val="0"/>
              <w:autoSpaceDN w:val="0"/>
              <w:adjustRightInd w:val="0"/>
              <w:jc w:val="both"/>
              <w:rPr>
                <w:sz w:val="28"/>
                <w:szCs w:val="28"/>
                <w:lang w:val="uk-UA"/>
              </w:rPr>
            </w:pPr>
            <w:r w:rsidRPr="00DB100B">
              <w:rPr>
                <w:sz w:val="28"/>
                <w:szCs w:val="28"/>
                <w:lang w:val="uk-UA"/>
              </w:rPr>
              <w:t>Основні методи під час стратегічної екологічної оцінки:</w:t>
            </w:r>
          </w:p>
          <w:p w14:paraId="6423CEF8" w14:textId="77777777" w:rsidR="006F34B6" w:rsidRPr="00DB100B" w:rsidRDefault="006F34B6" w:rsidP="006F34B6">
            <w:pPr>
              <w:widowControl w:val="0"/>
              <w:numPr>
                <w:ilvl w:val="0"/>
                <w:numId w:val="2"/>
              </w:numPr>
              <w:shd w:val="clear" w:color="auto" w:fill="FFFFFF"/>
              <w:tabs>
                <w:tab w:val="left" w:pos="1080"/>
              </w:tabs>
              <w:autoSpaceDE w:val="0"/>
              <w:autoSpaceDN w:val="0"/>
              <w:adjustRightInd w:val="0"/>
              <w:ind w:right="24" w:firstLine="720"/>
              <w:jc w:val="both"/>
              <w:rPr>
                <w:sz w:val="28"/>
                <w:szCs w:val="28"/>
                <w:lang w:val="uk-UA"/>
              </w:rPr>
            </w:pPr>
            <w:r w:rsidRPr="00DB100B">
              <w:rPr>
                <w:sz w:val="28"/>
                <w:szCs w:val="28"/>
                <w:lang w:val="uk-UA"/>
              </w:rPr>
              <w:t xml:space="preserve"> отримання рецензії та висновків до проекту містобудівної документації;</w:t>
            </w:r>
          </w:p>
          <w:p w14:paraId="4CC7F5F5" w14:textId="77777777" w:rsidR="006F34B6" w:rsidRPr="00DB100B" w:rsidRDefault="006F34B6" w:rsidP="006F34B6">
            <w:pPr>
              <w:widowControl w:val="0"/>
              <w:numPr>
                <w:ilvl w:val="0"/>
                <w:numId w:val="2"/>
              </w:numPr>
              <w:shd w:val="clear" w:color="auto" w:fill="FFFFFF"/>
              <w:tabs>
                <w:tab w:val="left" w:pos="1080"/>
              </w:tabs>
              <w:autoSpaceDE w:val="0"/>
              <w:autoSpaceDN w:val="0"/>
              <w:adjustRightInd w:val="0"/>
              <w:ind w:right="24" w:firstLine="720"/>
              <w:jc w:val="both"/>
              <w:rPr>
                <w:sz w:val="28"/>
                <w:szCs w:val="28"/>
                <w:lang w:val="uk-UA"/>
              </w:rPr>
            </w:pPr>
            <w:r w:rsidRPr="00DB100B">
              <w:rPr>
                <w:sz w:val="28"/>
                <w:szCs w:val="28"/>
                <w:lang w:val="uk-UA"/>
              </w:rPr>
              <w:t>погодження містобудівних перетворень з органами охорони культурної спадщини;</w:t>
            </w:r>
          </w:p>
          <w:p w14:paraId="2E338721" w14:textId="77777777" w:rsidR="006F34B6" w:rsidRPr="00DB100B" w:rsidRDefault="006F34B6" w:rsidP="006F34B6">
            <w:pPr>
              <w:widowControl w:val="0"/>
              <w:numPr>
                <w:ilvl w:val="0"/>
                <w:numId w:val="2"/>
              </w:numPr>
              <w:shd w:val="clear" w:color="auto" w:fill="FFFFFF"/>
              <w:tabs>
                <w:tab w:val="left" w:pos="1080"/>
              </w:tabs>
              <w:autoSpaceDE w:val="0"/>
              <w:autoSpaceDN w:val="0"/>
              <w:adjustRightInd w:val="0"/>
              <w:ind w:right="24" w:firstLine="720"/>
              <w:jc w:val="both"/>
              <w:rPr>
                <w:sz w:val="28"/>
                <w:szCs w:val="28"/>
                <w:lang w:val="uk-UA"/>
              </w:rPr>
            </w:pPr>
            <w:r w:rsidRPr="00DB100B">
              <w:rPr>
                <w:sz w:val="28"/>
                <w:szCs w:val="28"/>
                <w:lang w:val="uk-UA"/>
              </w:rPr>
              <w:t>розгляд проекту архітектурно-містобудівною радою;</w:t>
            </w:r>
          </w:p>
          <w:p w14:paraId="1D78EAE8" w14:textId="77777777" w:rsidR="006F34B6" w:rsidRPr="00EA07C9" w:rsidRDefault="006F34B6" w:rsidP="006F34B6">
            <w:pPr>
              <w:widowControl w:val="0"/>
              <w:numPr>
                <w:ilvl w:val="0"/>
                <w:numId w:val="2"/>
              </w:numPr>
              <w:shd w:val="clear" w:color="auto" w:fill="FFFFFF"/>
              <w:tabs>
                <w:tab w:val="left" w:pos="1080"/>
              </w:tabs>
              <w:autoSpaceDE w:val="0"/>
              <w:autoSpaceDN w:val="0"/>
              <w:adjustRightInd w:val="0"/>
              <w:ind w:right="24" w:firstLine="720"/>
              <w:jc w:val="both"/>
              <w:rPr>
                <w:rFonts w:ascii="Arial" w:hAnsi="Arial" w:cs="Arial"/>
                <w:b/>
                <w:bCs/>
              </w:rPr>
            </w:pPr>
            <w:r w:rsidRPr="00DB100B">
              <w:rPr>
                <w:sz w:val="28"/>
                <w:szCs w:val="28"/>
                <w:lang w:val="uk-UA"/>
              </w:rPr>
              <w:t>про</w:t>
            </w:r>
            <w:r w:rsidR="00FC14CF" w:rsidRPr="00DB100B">
              <w:rPr>
                <w:sz w:val="28"/>
                <w:szCs w:val="28"/>
                <w:lang w:val="uk-UA"/>
              </w:rPr>
              <w:t>ведення громадського  обговорен</w:t>
            </w:r>
            <w:r w:rsidRPr="00DB100B">
              <w:rPr>
                <w:sz w:val="28"/>
                <w:szCs w:val="28"/>
                <w:lang w:val="uk-UA"/>
              </w:rPr>
              <w:t>ня та громадських слухань щодо врахування громадських інтересів під час розроблення проект</w:t>
            </w:r>
            <w:r w:rsidR="00E13F19">
              <w:rPr>
                <w:sz w:val="28"/>
                <w:szCs w:val="28"/>
                <w:lang w:val="uk-UA"/>
              </w:rPr>
              <w:t>у</w:t>
            </w:r>
            <w:r w:rsidRPr="00DB100B">
              <w:rPr>
                <w:sz w:val="28"/>
                <w:szCs w:val="28"/>
                <w:lang w:val="uk-UA"/>
              </w:rPr>
              <w:t xml:space="preserve"> містобудівної документації</w:t>
            </w:r>
            <w:bookmarkStart w:id="2" w:name="Про_затвердження_Порядку_проведення_гром"/>
            <w:bookmarkEnd w:id="2"/>
            <w:r w:rsidRPr="00DB100B">
              <w:rPr>
                <w:rFonts w:ascii="Arial" w:hAnsi="Arial" w:cs="Arial"/>
                <w:b/>
                <w:bCs/>
                <w:lang w:val="uk-UA"/>
              </w:rPr>
              <w:t>.</w:t>
            </w:r>
          </w:p>
          <w:p w14:paraId="09D3CFA3" w14:textId="5C0741EC" w:rsidR="00EA07C9" w:rsidRPr="00DB100B" w:rsidRDefault="00EA07C9" w:rsidP="00EA07C9">
            <w:pPr>
              <w:widowControl w:val="0"/>
              <w:shd w:val="clear" w:color="auto" w:fill="FFFFFF"/>
              <w:tabs>
                <w:tab w:val="left" w:pos="1080"/>
              </w:tabs>
              <w:autoSpaceDE w:val="0"/>
              <w:autoSpaceDN w:val="0"/>
              <w:adjustRightInd w:val="0"/>
              <w:ind w:left="720" w:right="24"/>
              <w:jc w:val="both"/>
              <w:rPr>
                <w:rFonts w:ascii="Arial" w:hAnsi="Arial" w:cs="Arial"/>
                <w:b/>
                <w:bCs/>
              </w:rPr>
            </w:pPr>
          </w:p>
        </w:tc>
      </w:tr>
      <w:tr w:rsidR="00DB100B" w:rsidRPr="00DB100B" w14:paraId="39FC7041" w14:textId="77777777" w:rsidTr="0047269E">
        <w:tc>
          <w:tcPr>
            <w:tcW w:w="421" w:type="dxa"/>
          </w:tcPr>
          <w:p w14:paraId="048707D4" w14:textId="77777777" w:rsidR="006F34B6" w:rsidRPr="00DB100B" w:rsidRDefault="006F34B6" w:rsidP="00870A39">
            <w:pPr>
              <w:numPr>
                <w:ilvl w:val="0"/>
                <w:numId w:val="1"/>
              </w:numPr>
              <w:jc w:val="center"/>
              <w:rPr>
                <w:sz w:val="28"/>
                <w:szCs w:val="28"/>
                <w:lang w:val="uk-UA"/>
              </w:rPr>
            </w:pPr>
          </w:p>
        </w:tc>
        <w:tc>
          <w:tcPr>
            <w:tcW w:w="3402" w:type="dxa"/>
          </w:tcPr>
          <w:p w14:paraId="230FE326" w14:textId="77777777" w:rsidR="006F34B6" w:rsidRDefault="006F34B6" w:rsidP="00870A39">
            <w:pPr>
              <w:rPr>
                <w:sz w:val="28"/>
                <w:szCs w:val="28"/>
                <w:lang w:val="uk-UA"/>
              </w:rPr>
            </w:pPr>
            <w:r w:rsidRPr="00DB100B">
              <w:rPr>
                <w:sz w:val="28"/>
                <w:szCs w:val="28"/>
                <w:lang w:val="uk-UA"/>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14:paraId="4B43FA46" w14:textId="77E83A42" w:rsidR="00317AA4" w:rsidRPr="00DB100B" w:rsidRDefault="00317AA4" w:rsidP="00870A39">
            <w:pPr>
              <w:rPr>
                <w:sz w:val="28"/>
                <w:szCs w:val="28"/>
                <w:lang w:val="uk-UA"/>
              </w:rPr>
            </w:pPr>
          </w:p>
        </w:tc>
        <w:tc>
          <w:tcPr>
            <w:tcW w:w="5522" w:type="dxa"/>
          </w:tcPr>
          <w:p w14:paraId="05483EB7" w14:textId="77777777" w:rsidR="00EA07C9" w:rsidRDefault="00EA07C9" w:rsidP="00870A39">
            <w:pPr>
              <w:jc w:val="both"/>
              <w:rPr>
                <w:sz w:val="28"/>
                <w:szCs w:val="28"/>
                <w:lang w:val="uk-UA"/>
              </w:rPr>
            </w:pPr>
          </w:p>
          <w:p w14:paraId="09E53A5B" w14:textId="42D87689" w:rsidR="006F34B6" w:rsidRPr="00DB100B" w:rsidRDefault="006F34B6" w:rsidP="00870A39">
            <w:pPr>
              <w:jc w:val="both"/>
              <w:rPr>
                <w:sz w:val="28"/>
                <w:szCs w:val="28"/>
                <w:lang w:val="uk-UA"/>
              </w:rPr>
            </w:pPr>
            <w:r w:rsidRPr="00DB100B">
              <w:rPr>
                <w:sz w:val="28"/>
                <w:szCs w:val="28"/>
                <w:lang w:val="uk-UA"/>
              </w:rPr>
              <w:t>Розроблений у відповідності до державних буді</w:t>
            </w:r>
            <w:r w:rsidR="00121B7D" w:rsidRPr="00DB100B">
              <w:rPr>
                <w:sz w:val="28"/>
                <w:szCs w:val="28"/>
                <w:lang w:val="uk-UA"/>
              </w:rPr>
              <w:t>вельним нормам, санітарних норм</w:t>
            </w:r>
            <w:r w:rsidRPr="00DB100B">
              <w:rPr>
                <w:sz w:val="28"/>
                <w:szCs w:val="28"/>
                <w:lang w:val="uk-UA"/>
              </w:rPr>
              <w:t xml:space="preserve"> і правил проект містобудівної документації не матиме негативних наслідків виконання документа державного планування.</w:t>
            </w:r>
          </w:p>
        </w:tc>
      </w:tr>
      <w:tr w:rsidR="00DB100B" w:rsidRPr="003A2AD4" w14:paraId="5DCB6C8D" w14:textId="77777777" w:rsidTr="0047269E">
        <w:tc>
          <w:tcPr>
            <w:tcW w:w="421" w:type="dxa"/>
          </w:tcPr>
          <w:p w14:paraId="246B341F" w14:textId="77777777" w:rsidR="006F34B6" w:rsidRPr="00DB100B" w:rsidRDefault="006F34B6" w:rsidP="00870A39">
            <w:pPr>
              <w:numPr>
                <w:ilvl w:val="0"/>
                <w:numId w:val="1"/>
              </w:numPr>
              <w:jc w:val="center"/>
              <w:rPr>
                <w:sz w:val="28"/>
                <w:szCs w:val="28"/>
                <w:lang w:val="uk-UA"/>
              </w:rPr>
            </w:pPr>
          </w:p>
        </w:tc>
        <w:tc>
          <w:tcPr>
            <w:tcW w:w="3402" w:type="dxa"/>
          </w:tcPr>
          <w:p w14:paraId="3FBB602E" w14:textId="77777777" w:rsidR="006F34B6" w:rsidRPr="00DB100B" w:rsidRDefault="006F34B6" w:rsidP="00870A39">
            <w:pPr>
              <w:rPr>
                <w:sz w:val="28"/>
                <w:szCs w:val="28"/>
                <w:lang w:val="uk-UA"/>
              </w:rPr>
            </w:pPr>
            <w:r w:rsidRPr="00DB100B">
              <w:rPr>
                <w:sz w:val="28"/>
                <w:szCs w:val="28"/>
                <w:lang w:val="uk-UA"/>
              </w:rPr>
              <w:t>Пропозиції щодо структури та змісту звіту про стратегічну екологічну оцінку</w:t>
            </w:r>
          </w:p>
        </w:tc>
        <w:tc>
          <w:tcPr>
            <w:tcW w:w="5522" w:type="dxa"/>
          </w:tcPr>
          <w:p w14:paraId="1265932A" w14:textId="77777777" w:rsidR="006F34B6" w:rsidRPr="00DB100B" w:rsidRDefault="006F34B6" w:rsidP="00870A39">
            <w:pPr>
              <w:rPr>
                <w:sz w:val="28"/>
                <w:szCs w:val="28"/>
                <w:lang w:val="uk-UA"/>
              </w:rPr>
            </w:pPr>
            <w:r w:rsidRPr="00DB100B">
              <w:rPr>
                <w:sz w:val="28"/>
                <w:szCs w:val="28"/>
                <w:lang w:val="uk-UA"/>
              </w:rPr>
              <w:t>Відповідно до статті 11 Закону України «Про стратегічну екологічну оцінку». у складі містобудівної документації звітом про стратегічну екологічну оцінку для проектів містобудівної документації є розділ «Охорона навколишнього природного середовища».</w:t>
            </w:r>
          </w:p>
        </w:tc>
      </w:tr>
      <w:tr w:rsidR="00DB100B" w:rsidRPr="003A2AD4" w14:paraId="19FD8FD7" w14:textId="77777777" w:rsidTr="0047269E">
        <w:trPr>
          <w:trHeight w:val="1866"/>
        </w:trPr>
        <w:tc>
          <w:tcPr>
            <w:tcW w:w="421" w:type="dxa"/>
          </w:tcPr>
          <w:p w14:paraId="60104333" w14:textId="77777777" w:rsidR="006F34B6" w:rsidRPr="00DB100B" w:rsidRDefault="006F34B6" w:rsidP="00870A39">
            <w:pPr>
              <w:numPr>
                <w:ilvl w:val="0"/>
                <w:numId w:val="1"/>
              </w:numPr>
              <w:jc w:val="center"/>
              <w:rPr>
                <w:sz w:val="28"/>
                <w:szCs w:val="28"/>
                <w:lang w:val="uk-UA"/>
              </w:rPr>
            </w:pPr>
          </w:p>
        </w:tc>
        <w:tc>
          <w:tcPr>
            <w:tcW w:w="3402" w:type="dxa"/>
          </w:tcPr>
          <w:p w14:paraId="6AEEDD88" w14:textId="77777777" w:rsidR="006F34B6" w:rsidRPr="00DB100B" w:rsidRDefault="006F34B6" w:rsidP="00870A39">
            <w:pPr>
              <w:rPr>
                <w:sz w:val="28"/>
                <w:szCs w:val="28"/>
                <w:lang w:val="uk-UA"/>
              </w:rPr>
            </w:pPr>
            <w:r w:rsidRPr="00DB100B">
              <w:rPr>
                <w:sz w:val="28"/>
                <w:szCs w:val="28"/>
                <w:lang w:val="uk-UA"/>
              </w:rPr>
              <w:t>Орган, до якого подаються зауваження і пропозиції, та строки їх подання</w:t>
            </w:r>
          </w:p>
        </w:tc>
        <w:tc>
          <w:tcPr>
            <w:tcW w:w="5522" w:type="dxa"/>
          </w:tcPr>
          <w:p w14:paraId="68B59AB9" w14:textId="5F0BC330" w:rsidR="006F34B6" w:rsidRPr="00DB100B" w:rsidRDefault="006F34B6" w:rsidP="00DB100B">
            <w:pPr>
              <w:jc w:val="both"/>
              <w:rPr>
                <w:sz w:val="28"/>
                <w:szCs w:val="28"/>
                <w:lang w:val="uk-UA"/>
              </w:rPr>
            </w:pPr>
            <w:bookmarkStart w:id="3" w:name="6__Органи__зазначені_у_статтях_6_та_7_ць"/>
            <w:bookmarkEnd w:id="3"/>
            <w:r w:rsidRPr="00DB100B">
              <w:rPr>
                <w:sz w:val="28"/>
                <w:szCs w:val="28"/>
                <w:lang w:val="uk-UA"/>
              </w:rPr>
              <w:t xml:space="preserve">Зауваження і пропозиції до заяви про визначення обсягу стратегічної екологічної оцінки надаються у письмовій формі до </w:t>
            </w:r>
            <w:proofErr w:type="spellStart"/>
            <w:r w:rsidR="00DB100B" w:rsidRPr="00DB100B">
              <w:rPr>
                <w:sz w:val="28"/>
                <w:szCs w:val="28"/>
                <w:lang w:val="uk-UA"/>
              </w:rPr>
              <w:t>Баранинської</w:t>
            </w:r>
            <w:proofErr w:type="spellEnd"/>
            <w:r w:rsidR="00DB100B" w:rsidRPr="00DB100B">
              <w:rPr>
                <w:sz w:val="28"/>
                <w:szCs w:val="28"/>
                <w:lang w:val="uk-UA"/>
              </w:rPr>
              <w:t xml:space="preserve"> сільської</w:t>
            </w:r>
            <w:r w:rsidR="00AA3C8E" w:rsidRPr="00DB100B">
              <w:rPr>
                <w:sz w:val="28"/>
                <w:szCs w:val="28"/>
                <w:lang w:val="uk-UA"/>
              </w:rPr>
              <w:t xml:space="preserve"> ради </w:t>
            </w:r>
            <w:r w:rsidRPr="00DB100B">
              <w:rPr>
                <w:sz w:val="28"/>
                <w:szCs w:val="28"/>
                <w:lang w:val="uk-UA"/>
              </w:rPr>
              <w:t xml:space="preserve">у строк, що не перевищує 15 днів з дня отримання цієї заяви. </w:t>
            </w:r>
          </w:p>
        </w:tc>
      </w:tr>
    </w:tbl>
    <w:p w14:paraId="2F83DC69" w14:textId="77777777" w:rsidR="001F6F64" w:rsidRPr="006F34B6" w:rsidRDefault="003A2AD4" w:rsidP="008D7A80">
      <w:pPr>
        <w:rPr>
          <w:lang w:val="uk-UA"/>
        </w:rPr>
      </w:pPr>
    </w:p>
    <w:sectPr w:rsidR="001F6F64" w:rsidRPr="006F34B6" w:rsidSect="003A2AD4">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C80F7C0"/>
    <w:lvl w:ilvl="0">
      <w:numFmt w:val="bullet"/>
      <w:lvlText w:val="*"/>
      <w:lvlJc w:val="left"/>
    </w:lvl>
  </w:abstractNum>
  <w:abstractNum w:abstractNumId="1" w15:restartNumberingAfterBreak="0">
    <w:nsid w:val="78AF1C95"/>
    <w:multiLevelType w:val="hybridMultilevel"/>
    <w:tmpl w:val="53E0101A"/>
    <w:lvl w:ilvl="0" w:tplc="B824DAB2">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lvl w:ilvl="0">
        <w:start w:val="65535"/>
        <w:numFmt w:val="bullet"/>
        <w:lvlText w:val="-"/>
        <w:legacy w:legacy="1" w:legacySpace="0" w:legacyIndent="187"/>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B6"/>
    <w:rsid w:val="00121B7D"/>
    <w:rsid w:val="00172D65"/>
    <w:rsid w:val="001C5AA0"/>
    <w:rsid w:val="001C7612"/>
    <w:rsid w:val="001D6558"/>
    <w:rsid w:val="00295581"/>
    <w:rsid w:val="00317AA4"/>
    <w:rsid w:val="00387524"/>
    <w:rsid w:val="003A2AD4"/>
    <w:rsid w:val="003F0B20"/>
    <w:rsid w:val="0047269E"/>
    <w:rsid w:val="004767B6"/>
    <w:rsid w:val="004B4EAA"/>
    <w:rsid w:val="004D323D"/>
    <w:rsid w:val="00523CC8"/>
    <w:rsid w:val="0059439F"/>
    <w:rsid w:val="00616A87"/>
    <w:rsid w:val="006F34B6"/>
    <w:rsid w:val="00724998"/>
    <w:rsid w:val="00732B85"/>
    <w:rsid w:val="00765667"/>
    <w:rsid w:val="00777DFD"/>
    <w:rsid w:val="00783BE2"/>
    <w:rsid w:val="00785850"/>
    <w:rsid w:val="00791C26"/>
    <w:rsid w:val="007C728D"/>
    <w:rsid w:val="0081720B"/>
    <w:rsid w:val="00875B4B"/>
    <w:rsid w:val="008C068A"/>
    <w:rsid w:val="008D7A80"/>
    <w:rsid w:val="009F0903"/>
    <w:rsid w:val="00AA3C8E"/>
    <w:rsid w:val="00AA45BB"/>
    <w:rsid w:val="00AB3ACE"/>
    <w:rsid w:val="00B23614"/>
    <w:rsid w:val="00B2735D"/>
    <w:rsid w:val="00C326B2"/>
    <w:rsid w:val="00CE00D5"/>
    <w:rsid w:val="00CE0178"/>
    <w:rsid w:val="00DA00C1"/>
    <w:rsid w:val="00DB100B"/>
    <w:rsid w:val="00DD4B89"/>
    <w:rsid w:val="00E13F19"/>
    <w:rsid w:val="00E30D1B"/>
    <w:rsid w:val="00E37885"/>
    <w:rsid w:val="00E640DB"/>
    <w:rsid w:val="00EA07C9"/>
    <w:rsid w:val="00FA79B5"/>
    <w:rsid w:val="00FC1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5208"/>
  <w15:docId w15:val="{983A0410-23B3-46DE-B25A-A24101F0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34B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34B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
    <w:rsid w:val="006F34B6"/>
    <w:pPr>
      <w:widowControl w:val="0"/>
      <w:autoSpaceDE w:val="0"/>
      <w:autoSpaceDN w:val="0"/>
      <w:adjustRightInd w:val="0"/>
      <w:spacing w:line="254" w:lineRule="exact"/>
    </w:pPr>
  </w:style>
  <w:style w:type="paragraph" w:styleId="a4">
    <w:name w:val="Body Text Indent"/>
    <w:basedOn w:val="a"/>
    <w:link w:val="a5"/>
    <w:rsid w:val="006F34B6"/>
    <w:pPr>
      <w:widowControl w:val="0"/>
      <w:autoSpaceDE w:val="0"/>
      <w:autoSpaceDN w:val="0"/>
      <w:adjustRightInd w:val="0"/>
      <w:spacing w:before="20"/>
      <w:ind w:firstLine="680"/>
      <w:jc w:val="both"/>
    </w:pPr>
    <w:rPr>
      <w:lang w:val="uk-UA"/>
    </w:rPr>
  </w:style>
  <w:style w:type="character" w:customStyle="1" w:styleId="a5">
    <w:name w:val="Основной текст с отступом Знак"/>
    <w:basedOn w:val="a0"/>
    <w:link w:val="a4"/>
    <w:rsid w:val="006F34B6"/>
    <w:rPr>
      <w:rFonts w:ascii="Times New Roman" w:eastAsia="Times New Roman" w:hAnsi="Times New Roman" w:cs="Times New Roman"/>
      <w:sz w:val="24"/>
      <w:szCs w:val="24"/>
      <w:lang w:eastAsia="ru-RU"/>
    </w:rPr>
  </w:style>
  <w:style w:type="paragraph" w:customStyle="1" w:styleId="rvps2">
    <w:name w:val="rvps2"/>
    <w:basedOn w:val="a"/>
    <w:rsid w:val="00172D65"/>
    <w:pPr>
      <w:spacing w:before="100" w:beforeAutospacing="1" w:after="100" w:afterAutospacing="1"/>
    </w:pPr>
  </w:style>
  <w:style w:type="paragraph" w:styleId="a6">
    <w:name w:val="Balloon Text"/>
    <w:basedOn w:val="a"/>
    <w:link w:val="a7"/>
    <w:uiPriority w:val="99"/>
    <w:semiHidden/>
    <w:unhideWhenUsed/>
    <w:rsid w:val="003A2AD4"/>
    <w:rPr>
      <w:rFonts w:ascii="Segoe UI" w:hAnsi="Segoe UI" w:cs="Segoe UI"/>
      <w:sz w:val="18"/>
      <w:szCs w:val="18"/>
    </w:rPr>
  </w:style>
  <w:style w:type="character" w:customStyle="1" w:styleId="a7">
    <w:name w:val="Текст выноски Знак"/>
    <w:basedOn w:val="a0"/>
    <w:link w:val="a6"/>
    <w:uiPriority w:val="99"/>
    <w:semiHidden/>
    <w:rsid w:val="003A2AD4"/>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4859">
      <w:bodyDiv w:val="1"/>
      <w:marLeft w:val="0"/>
      <w:marRight w:val="0"/>
      <w:marTop w:val="0"/>
      <w:marBottom w:val="0"/>
      <w:divBdr>
        <w:top w:val="none" w:sz="0" w:space="0" w:color="auto"/>
        <w:left w:val="none" w:sz="0" w:space="0" w:color="auto"/>
        <w:bottom w:val="none" w:sz="0" w:space="0" w:color="auto"/>
        <w:right w:val="none" w:sz="0" w:space="0" w:color="auto"/>
      </w:divBdr>
    </w:div>
    <w:div w:id="176187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6C616-C5AB-4F1F-98FF-C7FE0FA3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2717</Words>
  <Characters>1550</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Amilo</dc:creator>
  <cp:lastModifiedBy>Ferma</cp:lastModifiedBy>
  <cp:revision>8</cp:revision>
  <cp:lastPrinted>2020-11-02T14:10:00Z</cp:lastPrinted>
  <dcterms:created xsi:type="dcterms:W3CDTF">2020-10-19T19:30:00Z</dcterms:created>
  <dcterms:modified xsi:type="dcterms:W3CDTF">2020-11-02T14:12:00Z</dcterms:modified>
</cp:coreProperties>
</file>